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FD53F" w14:textId="77777777" w:rsidR="00883F93" w:rsidRDefault="00C96D68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（第２</w:t>
      </w:r>
      <w:r w:rsidR="00DA7DDB">
        <w:rPr>
          <w:rFonts w:asciiTheme="minorEastAsia" w:eastAsiaTheme="minorEastAsia" w:hAnsiTheme="minorEastAsia" w:hint="eastAsia"/>
          <w:sz w:val="24"/>
        </w:rPr>
        <w:t>号様式）</w:t>
      </w:r>
    </w:p>
    <w:p w14:paraId="61C4C0B4" w14:textId="77777777" w:rsidR="00883F93" w:rsidRDefault="00DA7DDB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14:paraId="5421AC1B" w14:textId="77777777" w:rsidR="00883F93" w:rsidRDefault="00883F93">
      <w:pPr>
        <w:jc w:val="center"/>
        <w:rPr>
          <w:rFonts w:asciiTheme="minorEastAsia" w:eastAsiaTheme="minorEastAsia" w:hAnsiTheme="minorEastAsia"/>
          <w:sz w:val="22"/>
        </w:rPr>
      </w:pPr>
    </w:p>
    <w:p w14:paraId="2AD4652C" w14:textId="77777777" w:rsidR="00883F93" w:rsidRDefault="00DA7DDB">
      <w:pPr>
        <w:jc w:val="center"/>
        <w:rPr>
          <w:rFonts w:asciiTheme="minorEastAsia" w:eastAsiaTheme="minorEastAsia" w:hAnsiTheme="minorEastAsia"/>
          <w:sz w:val="32"/>
        </w:rPr>
      </w:pPr>
      <w:r>
        <w:rPr>
          <w:rFonts w:asciiTheme="minorEastAsia" w:eastAsiaTheme="minorEastAsia" w:hAnsiTheme="minorEastAsia" w:hint="eastAsia"/>
          <w:sz w:val="32"/>
        </w:rPr>
        <w:t>確　　認　　書</w:t>
      </w:r>
    </w:p>
    <w:p w14:paraId="313A08E6" w14:textId="77777777" w:rsidR="00883F93" w:rsidRDefault="00883F93">
      <w:pPr>
        <w:jc w:val="left"/>
        <w:rPr>
          <w:rFonts w:asciiTheme="minorEastAsia" w:eastAsiaTheme="minorEastAsia" w:hAnsiTheme="minorEastAsia"/>
          <w:sz w:val="24"/>
        </w:rPr>
      </w:pPr>
    </w:p>
    <w:p w14:paraId="1A743713" w14:textId="77777777" w:rsidR="00883F93" w:rsidRDefault="00DA7DDB">
      <w:pPr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南九州市長　　塗　木　弘　幸　様</w:t>
      </w:r>
    </w:p>
    <w:p w14:paraId="77718D5F" w14:textId="77777777" w:rsidR="00883F93" w:rsidRDefault="00883F93">
      <w:pPr>
        <w:jc w:val="left"/>
        <w:rPr>
          <w:rFonts w:asciiTheme="minorEastAsia" w:eastAsiaTheme="minorEastAsia" w:hAnsiTheme="minorEastAsia"/>
          <w:sz w:val="24"/>
        </w:rPr>
      </w:pPr>
    </w:p>
    <w:p w14:paraId="5A495B90" w14:textId="77777777" w:rsidR="00883F93" w:rsidRDefault="00DA7DDB" w:rsidP="0003650C">
      <w:pPr>
        <w:tabs>
          <w:tab w:val="left" w:pos="6663"/>
        </w:tabs>
        <w:ind w:firstLineChars="2200" w:firstLine="52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所在地</w:t>
      </w:r>
      <w:r w:rsidR="0003650C">
        <w:rPr>
          <w:rFonts w:asciiTheme="minorEastAsia" w:eastAsiaTheme="minorEastAsia" w:hAnsiTheme="minorEastAsia"/>
          <w:sz w:val="24"/>
        </w:rPr>
        <w:tab/>
      </w:r>
    </w:p>
    <w:p w14:paraId="4B4A8C70" w14:textId="77777777" w:rsidR="00883F93" w:rsidRDefault="00DA7DDB" w:rsidP="0003650C">
      <w:pPr>
        <w:tabs>
          <w:tab w:val="left" w:pos="6663"/>
        </w:tabs>
        <w:ind w:firstLineChars="2200" w:firstLine="52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法人名</w:t>
      </w:r>
      <w:r w:rsidR="0003650C">
        <w:rPr>
          <w:rFonts w:asciiTheme="minorEastAsia" w:eastAsiaTheme="minorEastAsia" w:hAnsiTheme="minorEastAsia"/>
          <w:sz w:val="24"/>
        </w:rPr>
        <w:tab/>
      </w:r>
    </w:p>
    <w:p w14:paraId="05FA7876" w14:textId="0BFE640B" w:rsidR="00883F93" w:rsidRDefault="00DA7DDB" w:rsidP="0003650C">
      <w:pPr>
        <w:tabs>
          <w:tab w:val="left" w:pos="6663"/>
        </w:tabs>
        <w:ind w:firstLineChars="2200" w:firstLine="52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代表者名</w:t>
      </w:r>
      <w:r w:rsidR="0003650C">
        <w:rPr>
          <w:rFonts w:asciiTheme="minorEastAsia" w:eastAsiaTheme="minorEastAsia" w:hAnsiTheme="minorEastAsia"/>
          <w:sz w:val="24"/>
        </w:rPr>
        <w:tab/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/>
          <w:sz w:val="24"/>
        </w:rPr>
        <w:t xml:space="preserve">　　　　　　</w:t>
      </w:r>
      <w:r>
        <w:rPr>
          <w:rFonts w:asciiTheme="minorEastAsia" w:eastAsiaTheme="minorEastAsia" w:hAnsiTheme="minorEastAsia" w:hint="eastAsia"/>
          <w:sz w:val="24"/>
        </w:rPr>
        <w:t xml:space="preserve">　　　</w:t>
      </w:r>
    </w:p>
    <w:p w14:paraId="74EBFD30" w14:textId="77777777" w:rsidR="00883F93" w:rsidRDefault="00883F93" w:rsidP="0003650C">
      <w:pPr>
        <w:tabs>
          <w:tab w:val="left" w:pos="6663"/>
        </w:tabs>
        <w:rPr>
          <w:rFonts w:asciiTheme="minorEastAsia" w:eastAsiaTheme="minorEastAsia" w:hAnsiTheme="minorEastAsia"/>
          <w:sz w:val="24"/>
        </w:rPr>
      </w:pPr>
    </w:p>
    <w:p w14:paraId="1C5D0EBB" w14:textId="252D3B6F" w:rsidR="00883F93" w:rsidRDefault="009B70D5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9B70D5">
        <w:rPr>
          <w:rFonts w:asciiTheme="minorEastAsia" w:eastAsiaTheme="minorEastAsia" w:hAnsiTheme="minorEastAsia" w:hint="eastAsia"/>
          <w:sz w:val="24"/>
        </w:rPr>
        <w:t>南九州市</w:t>
      </w:r>
      <w:r w:rsidR="00862FBF">
        <w:rPr>
          <w:rFonts w:asciiTheme="minorEastAsia" w:eastAsiaTheme="minorEastAsia" w:hAnsiTheme="minorEastAsia" w:hint="eastAsia"/>
          <w:sz w:val="24"/>
        </w:rPr>
        <w:t>ライフイベント関連手続きの</w:t>
      </w:r>
      <w:r w:rsidRPr="009B70D5">
        <w:rPr>
          <w:rFonts w:asciiTheme="minorEastAsia" w:eastAsiaTheme="minorEastAsia" w:hAnsiTheme="minorEastAsia" w:hint="eastAsia"/>
          <w:sz w:val="24"/>
        </w:rPr>
        <w:t>書かないワンストップ窓口導入及び運用保守業務</w:t>
      </w:r>
      <w:r w:rsidR="00DA7DDB">
        <w:rPr>
          <w:rFonts w:asciiTheme="minorEastAsia" w:eastAsiaTheme="minorEastAsia" w:hAnsiTheme="minorEastAsia" w:hint="eastAsia"/>
          <w:sz w:val="24"/>
        </w:rPr>
        <w:t>に係る申込みに当たり，実施要領の記載内容を承諾し，下記の応募資格について，全て確認しました。</w:t>
      </w:r>
    </w:p>
    <w:p w14:paraId="390ACBD0" w14:textId="77777777" w:rsidR="00883F93" w:rsidRDefault="00883F93">
      <w:pPr>
        <w:rPr>
          <w:rFonts w:asciiTheme="minorEastAsia" w:eastAsiaTheme="minorEastAsia" w:hAnsiTheme="minorEastAsia"/>
          <w:sz w:val="24"/>
        </w:rPr>
      </w:pPr>
    </w:p>
    <w:p w14:paraId="6E39C706" w14:textId="77777777" w:rsidR="00883F93" w:rsidRDefault="00DA7DDB">
      <w:pPr>
        <w:pStyle w:val="a8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記</w:t>
      </w:r>
    </w:p>
    <w:p w14:paraId="39951090" w14:textId="77777777" w:rsidR="00883F93" w:rsidRDefault="00883F93">
      <w:pPr>
        <w:rPr>
          <w:rFonts w:asciiTheme="minorEastAsia" w:eastAsiaTheme="minorEastAsia" w:hAnsiTheme="minorEastAsia"/>
          <w:sz w:val="24"/>
        </w:rPr>
      </w:pPr>
    </w:p>
    <w:p w14:paraId="26A946FF" w14:textId="77777777" w:rsidR="00883F93" w:rsidRDefault="00DA7DDB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　仕様書の内容に照らし，当該事業を的確に遂行する能力を有していること。</w:t>
      </w:r>
    </w:p>
    <w:p w14:paraId="47156094" w14:textId="77777777" w:rsidR="00883F93" w:rsidRDefault="00DA7DDB">
      <w:pPr>
        <w:ind w:leftChars="100" w:left="450" w:hangingChars="100" w:hanging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</w:t>
      </w:r>
      <w:r>
        <w:rPr>
          <w:rFonts w:asciiTheme="minorEastAsia" w:eastAsiaTheme="minorEastAsia" w:hAnsiTheme="minor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地方自治法施行令（昭和22年政令第16号）第167条の４第１項に該当しないこと。</w:t>
      </w:r>
    </w:p>
    <w:p w14:paraId="1A26F399" w14:textId="77777777" w:rsidR="00883F93" w:rsidRDefault="00DA7DDB">
      <w:pPr>
        <w:ind w:leftChars="100" w:left="450" w:hangingChars="100" w:hanging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３</w:t>
      </w:r>
      <w:r>
        <w:rPr>
          <w:rFonts w:asciiTheme="minorEastAsia" w:eastAsiaTheme="minorEastAsia" w:hAnsiTheme="minor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本プロポーザル参加表明書の提出日時点で，確定している決算（12か月分以上）を有していること。</w:t>
      </w:r>
    </w:p>
    <w:p w14:paraId="635BE249" w14:textId="77777777" w:rsidR="00883F93" w:rsidRDefault="00DA7DDB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４</w:t>
      </w:r>
      <w:r>
        <w:rPr>
          <w:rFonts w:asciiTheme="minorEastAsia" w:eastAsiaTheme="minorEastAsia" w:hAnsiTheme="minor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国税及び地方税に未納がないこと。</w:t>
      </w:r>
    </w:p>
    <w:p w14:paraId="57050314" w14:textId="77777777" w:rsidR="00883F93" w:rsidRDefault="00DA7DDB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５</w:t>
      </w:r>
      <w:r>
        <w:rPr>
          <w:rFonts w:asciiTheme="minorEastAsia" w:eastAsiaTheme="minorEastAsia" w:hAnsiTheme="minor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営業に関し必要な許可，認可等を受けていること。</w:t>
      </w:r>
    </w:p>
    <w:p w14:paraId="7653FA11" w14:textId="77777777" w:rsidR="00883F93" w:rsidRDefault="00DA7DDB">
      <w:pPr>
        <w:overflowPunct w:val="0"/>
        <w:autoSpaceDE w:val="0"/>
        <w:autoSpaceDN w:val="0"/>
        <w:ind w:leftChars="108" w:left="707" w:hangingChars="200" w:hanging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６　会社更生法（平成14年法律第154号）第17条の規定による更生手続開始の申し立て又</w:t>
      </w:r>
    </w:p>
    <w:p w14:paraId="0EAD5C49" w14:textId="77777777" w:rsidR="00883F93" w:rsidRDefault="00DA7DDB">
      <w:pPr>
        <w:overflowPunct w:val="0"/>
        <w:autoSpaceDE w:val="0"/>
        <w:autoSpaceDN w:val="0"/>
        <w:ind w:leftChars="208" w:left="677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は民事再生法（平成11年法律第225号）第21条の規定による更生手続開始の申し立てが</w:t>
      </w:r>
    </w:p>
    <w:p w14:paraId="2BBA049C" w14:textId="77777777" w:rsidR="00883F93" w:rsidRDefault="00DA7DDB">
      <w:pPr>
        <w:overflowPunct w:val="0"/>
        <w:autoSpaceDE w:val="0"/>
        <w:autoSpaceDN w:val="0"/>
        <w:ind w:leftChars="208" w:left="677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なされていない者であること。</w:t>
      </w:r>
    </w:p>
    <w:p w14:paraId="1A4F8EF8" w14:textId="77777777" w:rsidR="00883F93" w:rsidRDefault="00DA7DDB">
      <w:pPr>
        <w:overflowPunct w:val="0"/>
        <w:autoSpaceDE w:val="0"/>
        <w:autoSpaceDN w:val="0"/>
        <w:ind w:leftChars="108" w:left="707" w:hangingChars="200" w:hanging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７　暴力団員による不当な行為の防止等に関する法律（平成３年法律第77号）第２条第</w:t>
      </w:r>
    </w:p>
    <w:p w14:paraId="792C7FB4" w14:textId="77777777" w:rsidR="00883F93" w:rsidRDefault="00DA7DDB">
      <w:pPr>
        <w:overflowPunct w:val="0"/>
        <w:autoSpaceDE w:val="0"/>
        <w:autoSpaceDN w:val="0"/>
        <w:ind w:leftChars="208" w:left="677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２号に規定する暴力団又はその利益となる活動を行う者でないこと。</w:t>
      </w:r>
    </w:p>
    <w:p w14:paraId="278B16CC" w14:textId="3950A322" w:rsidR="00883F93" w:rsidRDefault="00DA7DDB" w:rsidP="00A709E9">
      <w:pPr>
        <w:overflowPunct w:val="0"/>
        <w:autoSpaceDE w:val="0"/>
        <w:autoSpaceDN w:val="0"/>
        <w:ind w:left="720" w:hangingChars="300" w:hanging="720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</w:rPr>
        <w:t xml:space="preserve">　</w:t>
      </w:r>
    </w:p>
    <w:p w14:paraId="1DF64E4D" w14:textId="77777777" w:rsidR="00883F93" w:rsidRDefault="00883F93">
      <w:pPr>
        <w:ind w:leftChars="100" w:left="450" w:hangingChars="100" w:hanging="240"/>
        <w:rPr>
          <w:rFonts w:asciiTheme="minorEastAsia" w:eastAsiaTheme="minorEastAsia" w:hAnsiTheme="minorEastAsia"/>
          <w:sz w:val="24"/>
        </w:rPr>
      </w:pPr>
    </w:p>
    <w:p w14:paraId="0D26B0AD" w14:textId="77777777" w:rsidR="00883F93" w:rsidRDefault="00883F93">
      <w:pPr>
        <w:widowControl/>
        <w:jc w:val="left"/>
        <w:rPr>
          <w:rFonts w:ascii="ＭＳ 明朝" w:hAnsi="ＭＳ 明朝"/>
          <w:kern w:val="0"/>
          <w:sz w:val="24"/>
        </w:rPr>
      </w:pPr>
    </w:p>
    <w:sectPr w:rsidR="00883F93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ED7FC" w14:textId="77777777" w:rsidR="0068762D" w:rsidRDefault="00DA7DDB">
      <w:r>
        <w:separator/>
      </w:r>
    </w:p>
  </w:endnote>
  <w:endnote w:type="continuationSeparator" w:id="0">
    <w:p w14:paraId="53FC32D9" w14:textId="77777777" w:rsidR="0068762D" w:rsidRDefault="00DA7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48204" w14:textId="77777777" w:rsidR="0068762D" w:rsidRDefault="00DA7DDB">
      <w:r>
        <w:separator/>
      </w:r>
    </w:p>
  </w:footnote>
  <w:footnote w:type="continuationSeparator" w:id="0">
    <w:p w14:paraId="2D2B23ED" w14:textId="77777777" w:rsidR="0068762D" w:rsidRDefault="00DA7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3F93"/>
    <w:rsid w:val="0003650C"/>
    <w:rsid w:val="00267F9C"/>
    <w:rsid w:val="0068762D"/>
    <w:rsid w:val="007B09DB"/>
    <w:rsid w:val="00862FBF"/>
    <w:rsid w:val="00883F93"/>
    <w:rsid w:val="009B70D5"/>
    <w:rsid w:val="00A709E9"/>
    <w:rsid w:val="00C96D68"/>
    <w:rsid w:val="00DA7DDB"/>
    <w:rsid w:val="00E7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9DDB5"/>
  <w15:chartTrackingRefBased/>
  <w15:docId w15:val="{06A1B877-D762-4DA8-A331-14DB90224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</w:rPr>
  </w:style>
  <w:style w:type="character" w:styleId="a7">
    <w:name w:val="Hyperlink"/>
    <w:basedOn w:val="a0"/>
    <w:rPr>
      <w:color w:val="0000FF" w:themeColor="hyperlink"/>
      <w:u w:val="single"/>
    </w:rPr>
  </w:style>
  <w:style w:type="paragraph" w:styleId="a8">
    <w:name w:val="Note Heading"/>
    <w:basedOn w:val="a"/>
    <w:next w:val="a"/>
    <w:link w:val="a9"/>
    <w:pPr>
      <w:jc w:val="center"/>
    </w:pPr>
    <w:rPr>
      <w:rFonts w:asciiTheme="minorHAnsi" w:eastAsiaTheme="minorEastAsia" w:hAnsiTheme="minorHAnsi"/>
    </w:rPr>
  </w:style>
  <w:style w:type="character" w:customStyle="1" w:styleId="a9">
    <w:name w:val="記 (文字)"/>
    <w:basedOn w:val="a0"/>
    <w:link w:val="a8"/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べっぷまこと</dc:creator>
  <cp:lastModifiedBy>南谷　礼美</cp:lastModifiedBy>
  <cp:revision>15</cp:revision>
  <cp:lastPrinted>2017-07-24T07:18:00Z</cp:lastPrinted>
  <dcterms:created xsi:type="dcterms:W3CDTF">2017-07-24T02:05:00Z</dcterms:created>
  <dcterms:modified xsi:type="dcterms:W3CDTF">2025-04-11T00:51:00Z</dcterms:modified>
</cp:coreProperties>
</file>